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9E" w:rsidRPr="005C6D9E" w:rsidRDefault="005C6D9E" w:rsidP="005C6D9E">
      <w:pPr>
        <w:shd w:val="clear" w:color="auto" w:fill="FFFFFF"/>
        <w:spacing w:after="0" w:line="44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Критерії</w:t>
      </w:r>
      <w:proofErr w:type="spell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оцінювання</w:t>
      </w:r>
      <w:proofErr w:type="spell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знань</w:t>
      </w:r>
      <w:proofErr w:type="spell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учнів</w:t>
      </w:r>
      <w:proofErr w:type="spell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</w:t>
      </w:r>
      <w:proofErr w:type="spell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географії</w:t>
      </w:r>
      <w:proofErr w:type="spellEnd"/>
    </w:p>
    <w:p w:rsidR="005C6D9E" w:rsidRPr="005C6D9E" w:rsidRDefault="005C6D9E" w:rsidP="005C6D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Оцінюючи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навчальні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досягнення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учнів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географії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необхідно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враховувати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:</w:t>
      </w:r>
    </w:p>
    <w:p w:rsidR="005C6D9E" w:rsidRPr="005C6D9E" w:rsidRDefault="005C6D9E" w:rsidP="005C6D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— </w:t>
      </w:r>
      <w:r w:rsidRPr="005C6D9E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правильність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і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науковість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викладення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матеріалу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повноту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розкриття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понять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і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закономірностей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точність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вживання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географічної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картографічної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термінології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;</w:t>
      </w:r>
    </w:p>
    <w:p w:rsidR="005C6D9E" w:rsidRPr="005C6D9E" w:rsidRDefault="005C6D9E" w:rsidP="005C6D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— </w:t>
      </w:r>
      <w:r w:rsidRPr="005C6D9E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ступінь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самостійності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відповіді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;</w:t>
      </w:r>
    </w:p>
    <w:p w:rsidR="005C6D9E" w:rsidRPr="005C6D9E" w:rsidRDefault="005C6D9E" w:rsidP="005C6D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—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логічність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доказовість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у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викладенні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матеріалу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;</w:t>
      </w:r>
    </w:p>
    <w:p w:rsidR="005C6D9E" w:rsidRPr="005C6D9E" w:rsidRDefault="005C6D9E" w:rsidP="005C6D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—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ступінь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сформованого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інтелектуальних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загаль</w:t>
      </w:r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softHyphen/>
        <w:t>ноосвітніх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специфічних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умінь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(робота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картографіч</w:t>
      </w:r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softHyphen/>
        <w:t>ними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статистичними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іншими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додатковими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мате</w:t>
      </w:r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softHyphen/>
        <w:t>ріалами</w:t>
      </w:r>
      <w:proofErr w:type="spellEnd"/>
      <w:r w:rsidRPr="005C6D9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).</w:t>
      </w:r>
    </w:p>
    <w:p w:rsidR="005C6D9E" w:rsidRPr="005C6D9E" w:rsidRDefault="005C6D9E" w:rsidP="005C6D9E">
      <w:pPr>
        <w:shd w:val="clear" w:color="auto" w:fill="FFFFFF"/>
        <w:spacing w:after="0" w:line="44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C6D9E" w:rsidRPr="005C6D9E" w:rsidRDefault="005C6D9E" w:rsidP="005C6D9E">
      <w:pPr>
        <w:shd w:val="clear" w:color="auto" w:fill="FFFFFF"/>
        <w:spacing w:after="0" w:line="44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Початковий</w:t>
      </w:r>
      <w:proofErr w:type="spell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івень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досягнень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</w:t>
      </w:r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ризується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фрагментарним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володінням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учнем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</w:t>
      </w:r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ним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матеріалом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розпізнавати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окремі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гео</w:t>
      </w:r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графічні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об'єкти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намагається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давати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їм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визначення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допомогою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вчителя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знаходить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</w:t>
      </w:r>
      <w:proofErr w:type="gram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</w:t>
      </w:r>
      <w:proofErr w:type="spellEnd"/>
      <w:proofErr w:type="gram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C6D9E" w:rsidRPr="005C6D9E" w:rsidRDefault="005C6D9E" w:rsidP="005C6D9E">
      <w:pPr>
        <w:shd w:val="clear" w:color="auto" w:fill="FFFFFF"/>
        <w:spacing w:after="0" w:line="44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Середній</w:t>
      </w:r>
      <w:proofErr w:type="spell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івень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досягнень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передбачає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відтворити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повторити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інформацію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тобто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володіє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знаннями-копіями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Він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розуміє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основний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</w:t>
      </w:r>
      <w:proofErr w:type="gram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іал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допомогою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вчителя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визначає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поняття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закономірності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частково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пояснює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взаємозв'язки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природі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суспільстві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картографічний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матеріал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У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практичних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робіт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</w:t>
      </w:r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 xml:space="preserve">вильно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джерела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Спостерігаючи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природними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суспільними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явищами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виділяє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лише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окремі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особливості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C6D9E" w:rsidRPr="005C6D9E" w:rsidRDefault="005C6D9E" w:rsidP="005C6D9E">
      <w:pPr>
        <w:shd w:val="clear" w:color="auto" w:fill="FFFFFF"/>
        <w:spacing w:after="0" w:line="44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Достатній</w:t>
      </w:r>
      <w:proofErr w:type="spell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івень</w:t>
      </w:r>
      <w:proofErr w:type="spell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досягнень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передбачає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достатньо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володіє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програмовим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навчальним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матеріалом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самостійно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виправляє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допущені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помилки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підтверджує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свої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знання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відповідними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аргументами,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здатен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застосовувати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здобуті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знання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практиці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Правильно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відбирає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джерела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необхідних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розв'язання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проблем у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типових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ситуаціях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Здатний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вести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спостереження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r w:rsidRPr="005C6D9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   </w:t>
      </w:r>
      <w:r w:rsidRPr="005C6D9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природними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та   </w:t>
      </w:r>
      <w:r w:rsidRPr="005C6D9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суспільними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явищами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C6D9E" w:rsidRPr="005C6D9E" w:rsidRDefault="005C6D9E" w:rsidP="005C6D9E">
      <w:pPr>
        <w:shd w:val="clear" w:color="auto" w:fill="FFFFFF"/>
        <w:spacing w:after="0" w:line="44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Високий</w:t>
      </w:r>
      <w:proofErr w:type="spell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5C6D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івень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навчальних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досягнень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передбачає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вичерпну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правильну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повне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розкриття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змісту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понять,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закономірностей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географічних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взаємозв'яз</w:t>
      </w:r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ків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підтверджує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прикладами.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грамотно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proofErr w:type="spellEnd"/>
      <w:proofErr w:type="gram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твор</w:t>
      </w:r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чо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картографічні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матеріали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дже</w:t>
      </w:r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рела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знань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уміє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робити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висновки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узагальнення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практичної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діяльності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правильно проводить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спостереження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оформляє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аналізує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їх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результати</w:t>
      </w:r>
      <w:proofErr w:type="spellEnd"/>
      <w:r w:rsidRPr="005C6D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0"/>
        <w:gridCol w:w="1200"/>
        <w:gridCol w:w="6000"/>
      </w:tblGrid>
      <w:tr w:rsidR="005C6D9E" w:rsidRPr="005C6D9E" w:rsidTr="005C6D9E">
        <w:trPr>
          <w:trHeight w:val="62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івні</w:t>
            </w:r>
            <w:proofErr w:type="spellEnd"/>
          </w:p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</w:p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Бали</w:t>
            </w:r>
            <w:proofErr w:type="spellEnd"/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Критерії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</w:p>
        </w:tc>
      </w:tr>
      <w:tr w:rsidR="005C6D9E" w:rsidRPr="005C6D9E" w:rsidTr="005C6D9E">
        <w:trPr>
          <w:trHeight w:val="860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Початковий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розрізняє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окремі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явища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об'єкти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(гори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івнини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суша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океан, село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галузь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) та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допомогою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вчителя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ходить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карті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C6D9E" w:rsidRPr="005C6D9E" w:rsidTr="005C6D9E">
        <w:trPr>
          <w:trHeight w:val="1123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допомогою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вчителя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відтво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рює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окремі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факти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елементарному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розрізняє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один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декілька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запропонованих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об'єк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тів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допомогою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вчителя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нама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гається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знайти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карті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C6D9E" w:rsidRPr="005C6D9E" w:rsidTr="005C6D9E">
        <w:trPr>
          <w:trHeight w:val="82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деяких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випадках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нечіткі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характеристики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об'єк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тів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допомогою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вчителя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знаходить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ї</w:t>
            </w:r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карті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може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самостійно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роз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різнити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окремі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поняття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C6D9E" w:rsidRPr="005C6D9E" w:rsidTr="005C6D9E">
        <w:trPr>
          <w:trHeight w:val="1736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Середній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частково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відтворює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текст </w:t>
            </w:r>
            <w:proofErr w:type="spellStart"/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ід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ручника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нечітке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новних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понять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термінів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допомогою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вчителя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називає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теми конкретного уроку,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компоненти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географічної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оболонки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складові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госпо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дарства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повторює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зразком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практичну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роботу;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відповіді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намагається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користуватися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картою.</w:t>
            </w:r>
          </w:p>
        </w:tc>
      </w:tr>
      <w:tr w:rsidR="005C6D9E" w:rsidRPr="005C6D9E" w:rsidTr="005C6D9E">
        <w:trPr>
          <w:trHeight w:val="156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відтворює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частину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матеріалу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розкриття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причинно-наслідкових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зв'язків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описує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об'єкти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явища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типовим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планом;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намагається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робити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висновки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ід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твердження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прикладами;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частково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володіє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обов'язковою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номенклатурою.</w:t>
            </w:r>
          </w:p>
        </w:tc>
      </w:tr>
      <w:tr w:rsidR="005C6D9E" w:rsidRPr="005C6D9E" w:rsidTr="005C6D9E">
        <w:trPr>
          <w:trHeight w:val="177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самостійно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більшість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визна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передбачених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темою уроку,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відтво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рює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значну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частину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вивченого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матері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алу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викладу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ід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ручнику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допомогою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вчителя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виявляє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причинно-наслідкові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зв'язки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ілюструє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власними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прикладами; на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середньо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му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рівні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володіє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номен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клатурою та картою.</w:t>
            </w:r>
          </w:p>
        </w:tc>
      </w:tr>
      <w:tr w:rsidR="005C6D9E" w:rsidRPr="005C6D9E" w:rsidTr="005C6D9E">
        <w:trPr>
          <w:trHeight w:val="1333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Достатній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достатні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застосовує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вирішення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стандарт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ситуацій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цілі</w:t>
            </w:r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сне</w:t>
            </w:r>
            <w:proofErr w:type="spellEnd"/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уявлення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природні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суспільні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явища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вміє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вес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ти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спостереження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навколишнім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редовищем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достатньо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володіє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картографічним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матеріалом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C6D9E" w:rsidRPr="005C6D9E" w:rsidTr="005C6D9E">
        <w:trPr>
          <w:trHeight w:val="196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засвоїв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уявлення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поняття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географічної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науки про Землю та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господарську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людини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 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застосовує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здобуті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практиці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  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використовуючи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прийоми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аналізу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статистичних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господарство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показує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зміну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часі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вміє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наводити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приклади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людини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 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обов’язкову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номенклатуру.</w:t>
            </w:r>
          </w:p>
        </w:tc>
      </w:tr>
      <w:tr w:rsidR="005C6D9E" w:rsidRPr="005C6D9E" w:rsidTr="005C6D9E">
        <w:trPr>
          <w:trHeight w:val="17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достатньому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володіє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нав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чальним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матеріалом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 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може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застосову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вати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його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практичних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чіткі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уявлення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компо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ненти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просторову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організа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цію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господарства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пояснює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причинно-наслідкові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зв'язки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природі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й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госпо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дарстві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майже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безпомилково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працює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картографічним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матеріалом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C6D9E" w:rsidRPr="005C6D9E" w:rsidTr="005C6D9E">
        <w:trPr>
          <w:trHeight w:val="167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Високий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усвідомлює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сучасну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картину </w:t>
            </w:r>
            <w:proofErr w:type="spellStart"/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іту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здійснює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оцінку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пев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процесів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явищ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передбачених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навчальною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програмою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пояснює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кладне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значення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розгорнуту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відповідь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відбирає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обхідні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вільно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застосовує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біль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шість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понять та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може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класифікувати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добре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володіє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картогра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фічним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матеріалом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C6D9E" w:rsidRPr="005C6D9E" w:rsidTr="005C6D9E">
        <w:trPr>
          <w:trHeight w:val="1437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глибокі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об'єкт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застосовує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наукову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терміно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логію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аргументує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свої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твердження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висновки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}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вміє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працювати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рекомен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дованими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вчителем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джерелами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фічної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на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високому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івні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аналізує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використовує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картографіч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ну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інформацію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C6D9E" w:rsidRPr="005C6D9E" w:rsidTr="005C6D9E">
        <w:trPr>
          <w:trHeight w:val="1996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C6D9E" w:rsidRPr="005C6D9E" w:rsidRDefault="005C6D9E" w:rsidP="005C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Учень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володіє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ґрунтовними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географіч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ними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знаннями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 межах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вимог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навчаль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ної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висловлює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аргументує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власне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proofErr w:type="gram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ізних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поглядів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об'єкт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вивчення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самостійно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аналізує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природні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суспільні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явища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робить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відповідні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висновки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й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узагальнення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здатний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розв'язувати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проблемні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завдан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ня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вільно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володіє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картографічною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ін</w:t>
            </w:r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oftHyphen/>
              <w:t>формацією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творчо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її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використовує</w:t>
            </w:r>
            <w:proofErr w:type="spellEnd"/>
            <w:r w:rsidRPr="005C6D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C16163" w:rsidRDefault="00C16163"/>
    <w:sectPr w:rsidR="00C16163" w:rsidSect="00C1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6D9E"/>
    <w:rsid w:val="003E3053"/>
    <w:rsid w:val="005C6D9E"/>
    <w:rsid w:val="00C1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6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4763</Characters>
  <Application>Microsoft Office Word</Application>
  <DocSecurity>0</DocSecurity>
  <Lines>39</Lines>
  <Paragraphs>11</Paragraphs>
  <ScaleCrop>false</ScaleCrop>
  <Company>diakov.net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2016-08-10T16:41:00Z</dcterms:created>
  <dcterms:modified xsi:type="dcterms:W3CDTF">2016-08-10T16:42:00Z</dcterms:modified>
</cp:coreProperties>
</file>